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DAF44" w14:textId="77777777" w:rsidR="00ED5034" w:rsidRDefault="00ED5034" w:rsidP="00ED5034">
      <w:r>
        <w:rPr>
          <w:noProof/>
        </w:rPr>
        <w:drawing>
          <wp:inline distT="0" distB="0" distL="0" distR="0" wp14:anchorId="0A39C51F" wp14:editId="654BE53D">
            <wp:extent cx="1719072" cy="621792"/>
            <wp:effectExtent l="0" t="0" r="0" b="6985"/>
            <wp:docPr id="1" name="Picture 1" descr="C:\Users\dcarlson\AppData\Local\Microsoft\Windows\INetCacheContent.Word\OnePoin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rlson\AppData\Local\Microsoft\Windows\INetCacheContent.Word\OnePoint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9072" cy="621792"/>
                    </a:xfrm>
                    <a:prstGeom prst="rect">
                      <a:avLst/>
                    </a:prstGeom>
                    <a:noFill/>
                    <a:ln>
                      <a:noFill/>
                    </a:ln>
                  </pic:spPr>
                </pic:pic>
              </a:graphicData>
            </a:graphic>
          </wp:inline>
        </w:drawing>
      </w:r>
    </w:p>
    <w:p w14:paraId="07E997C7" w14:textId="09234246" w:rsidR="00ED5034" w:rsidRPr="00416B4B" w:rsidRDefault="0076425B" w:rsidP="00ED5034">
      <w:pPr>
        <w:rPr>
          <w:rFonts w:cstheme="minorHAnsi"/>
          <w:b/>
          <w:sz w:val="40"/>
          <w:szCs w:val="40"/>
        </w:rPr>
      </w:pPr>
      <w:r w:rsidRPr="00416B4B">
        <w:rPr>
          <w:rFonts w:cstheme="minorHAnsi"/>
          <w:b/>
          <w:sz w:val="40"/>
          <w:szCs w:val="40"/>
        </w:rPr>
        <w:t>Limited Warranty</w:t>
      </w:r>
    </w:p>
    <w:p w14:paraId="1C18046F" w14:textId="77777777" w:rsidR="00ED5034" w:rsidRPr="00416B4B" w:rsidRDefault="00ED5034" w:rsidP="00ED5034">
      <w:pPr>
        <w:pStyle w:val="ListParagraph"/>
        <w:numPr>
          <w:ilvl w:val="0"/>
          <w:numId w:val="1"/>
        </w:numPr>
        <w:ind w:left="180" w:hanging="180"/>
        <w:rPr>
          <w:rFonts w:cstheme="minorHAnsi"/>
          <w:b/>
          <w:sz w:val="18"/>
          <w:szCs w:val="20"/>
        </w:rPr>
        <w:sectPr w:rsidR="00ED5034" w:rsidRPr="00416B4B" w:rsidSect="00ED503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368793B1" w14:textId="43EFFC0C" w:rsidR="00ED5034" w:rsidRPr="00416B4B" w:rsidRDefault="0076425B" w:rsidP="0076425B">
      <w:pPr>
        <w:jc w:val="center"/>
        <w:rPr>
          <w:rFonts w:cstheme="minorHAnsi"/>
          <w:b/>
          <w:sz w:val="24"/>
        </w:rPr>
      </w:pPr>
      <w:r w:rsidRPr="00416B4B">
        <w:rPr>
          <w:rFonts w:cstheme="minorHAnsi"/>
          <w:b/>
          <w:sz w:val="24"/>
        </w:rPr>
        <w:t>WHAT IS COVERED</w:t>
      </w:r>
    </w:p>
    <w:p w14:paraId="68A53AD0" w14:textId="4D4330A5" w:rsidR="0076425B" w:rsidRPr="00416B4B" w:rsidRDefault="0076425B" w:rsidP="00416B4B">
      <w:pPr>
        <w:jc w:val="both"/>
        <w:rPr>
          <w:rFonts w:cstheme="minorHAnsi"/>
          <w:sz w:val="20"/>
        </w:rPr>
      </w:pPr>
      <w:bookmarkStart w:id="0" w:name="_GoBack"/>
      <w:r w:rsidRPr="00416B4B">
        <w:rPr>
          <w:rFonts w:cstheme="minorHAnsi"/>
          <w:sz w:val="20"/>
        </w:rPr>
        <w:t>OnePointe Solutions LLC (“OnePointe”) warrants the products sold are free of defects in materials or workmanship to the Purchaser under normal use and service for the warranty periods specified with the exceptions stated below.</w:t>
      </w:r>
    </w:p>
    <w:bookmarkEnd w:id="0"/>
    <w:p w14:paraId="25AE1671" w14:textId="5BF38DD7" w:rsidR="0076425B" w:rsidRPr="00416B4B" w:rsidRDefault="0076425B" w:rsidP="0076425B">
      <w:pPr>
        <w:jc w:val="center"/>
        <w:rPr>
          <w:rFonts w:cstheme="minorHAnsi"/>
          <w:b/>
          <w:sz w:val="24"/>
        </w:rPr>
      </w:pPr>
      <w:r w:rsidRPr="00416B4B">
        <w:rPr>
          <w:rFonts w:cstheme="minorHAnsi"/>
          <w:b/>
          <w:sz w:val="24"/>
        </w:rPr>
        <w:t>WHO IS COVERED</w:t>
      </w:r>
    </w:p>
    <w:p w14:paraId="29955D14" w14:textId="7381B375" w:rsidR="0076425B" w:rsidRPr="00416B4B" w:rsidRDefault="0076425B" w:rsidP="00416B4B">
      <w:pPr>
        <w:jc w:val="both"/>
        <w:rPr>
          <w:rFonts w:cstheme="minorHAnsi"/>
          <w:sz w:val="20"/>
        </w:rPr>
      </w:pPr>
      <w:r w:rsidRPr="00416B4B">
        <w:rPr>
          <w:rFonts w:cstheme="minorHAnsi"/>
          <w:sz w:val="20"/>
        </w:rPr>
        <w:t>This limited warranty only applies to an original Purchaser located in the United States, Canada, or Mexico.</w:t>
      </w:r>
    </w:p>
    <w:p w14:paraId="51CE9134" w14:textId="379BB553" w:rsidR="0076425B" w:rsidRPr="00416B4B" w:rsidRDefault="0076425B" w:rsidP="0076425B">
      <w:pPr>
        <w:jc w:val="center"/>
        <w:rPr>
          <w:rFonts w:cstheme="minorHAnsi"/>
          <w:b/>
          <w:sz w:val="24"/>
        </w:rPr>
      </w:pPr>
      <w:r w:rsidRPr="00416B4B">
        <w:rPr>
          <w:rFonts w:cstheme="minorHAnsi"/>
          <w:b/>
          <w:sz w:val="24"/>
        </w:rPr>
        <w:t>HOW LONG COVERAGE LASTS</w:t>
      </w:r>
    </w:p>
    <w:p w14:paraId="6B8807B1" w14:textId="417CBAB5" w:rsidR="0076425B" w:rsidRPr="00416B4B" w:rsidRDefault="0076425B" w:rsidP="00416B4B">
      <w:pPr>
        <w:jc w:val="both"/>
        <w:rPr>
          <w:rFonts w:cstheme="minorHAnsi"/>
          <w:sz w:val="20"/>
        </w:rPr>
      </w:pPr>
      <w:r w:rsidRPr="00416B4B">
        <w:rPr>
          <w:rFonts w:cstheme="minorHAnsi"/>
          <w:sz w:val="20"/>
        </w:rPr>
        <w:t>Coverage duration is dependent on the item(s) purchased, please reference the table below for details. Due to the custom nature of OnePointe’s products, there may be multiple items purchased, with different warranty durations.  All warranties start from the date of shipment and run concurrently.</w:t>
      </w:r>
    </w:p>
    <w:tbl>
      <w:tblPr>
        <w:tblStyle w:val="TableGrid"/>
        <w:tblW w:w="10800" w:type="dxa"/>
        <w:jc w:val="center"/>
        <w:tblLayout w:type="fixed"/>
        <w:tblLook w:val="04A0" w:firstRow="1" w:lastRow="0" w:firstColumn="1" w:lastColumn="0" w:noHBand="0" w:noVBand="1"/>
      </w:tblPr>
      <w:tblGrid>
        <w:gridCol w:w="4059"/>
        <w:gridCol w:w="1255"/>
        <w:gridCol w:w="4253"/>
        <w:gridCol w:w="1233"/>
      </w:tblGrid>
      <w:tr w:rsidR="0076425B" w:rsidRPr="00416B4B" w14:paraId="39DD949D" w14:textId="77777777" w:rsidTr="0076425B">
        <w:trPr>
          <w:trHeight w:hRule="exact" w:val="288"/>
          <w:jc w:val="center"/>
        </w:trPr>
        <w:tc>
          <w:tcPr>
            <w:tcW w:w="1875" w:type="pct"/>
            <w:shd w:val="clear" w:color="auto" w:fill="BFBFBF" w:themeFill="background1" w:themeFillShade="BF"/>
          </w:tcPr>
          <w:p w14:paraId="65868D3F" w14:textId="77777777" w:rsidR="0076425B" w:rsidRPr="00416B4B" w:rsidRDefault="0076425B" w:rsidP="00FB3884">
            <w:pPr>
              <w:spacing w:after="240"/>
              <w:jc w:val="center"/>
              <w:rPr>
                <w:rFonts w:eastAsia="Times New Roman" w:cstheme="minorHAnsi"/>
                <w:b/>
                <w:color w:val="323232"/>
                <w:sz w:val="20"/>
                <w:szCs w:val="20"/>
              </w:rPr>
            </w:pPr>
            <w:r w:rsidRPr="00416B4B">
              <w:rPr>
                <w:rFonts w:eastAsia="Times New Roman" w:cstheme="minorHAnsi"/>
                <w:b/>
                <w:color w:val="323232"/>
                <w:sz w:val="20"/>
                <w:szCs w:val="20"/>
              </w:rPr>
              <w:t>Item</w:t>
            </w:r>
          </w:p>
        </w:tc>
        <w:tc>
          <w:tcPr>
            <w:tcW w:w="580" w:type="pct"/>
            <w:shd w:val="clear" w:color="auto" w:fill="BFBFBF" w:themeFill="background1" w:themeFillShade="BF"/>
          </w:tcPr>
          <w:p w14:paraId="75E5A3A4" w14:textId="77777777" w:rsidR="0076425B" w:rsidRPr="00416B4B" w:rsidRDefault="0076425B" w:rsidP="00FB3884">
            <w:pPr>
              <w:spacing w:after="240"/>
              <w:jc w:val="center"/>
              <w:rPr>
                <w:rFonts w:eastAsia="Times New Roman" w:cstheme="minorHAnsi"/>
                <w:b/>
                <w:color w:val="323232"/>
                <w:sz w:val="20"/>
                <w:szCs w:val="20"/>
              </w:rPr>
            </w:pPr>
            <w:r w:rsidRPr="00416B4B">
              <w:rPr>
                <w:rFonts w:eastAsia="Times New Roman" w:cstheme="minorHAnsi"/>
                <w:b/>
                <w:color w:val="323232"/>
                <w:sz w:val="20"/>
                <w:szCs w:val="20"/>
              </w:rPr>
              <w:t>Duration</w:t>
            </w:r>
          </w:p>
        </w:tc>
        <w:tc>
          <w:tcPr>
            <w:tcW w:w="1965" w:type="pct"/>
            <w:shd w:val="clear" w:color="auto" w:fill="BFBFBF" w:themeFill="background1" w:themeFillShade="BF"/>
          </w:tcPr>
          <w:p w14:paraId="05C3D127" w14:textId="77777777" w:rsidR="0076425B" w:rsidRPr="00416B4B" w:rsidRDefault="0076425B" w:rsidP="00FB3884">
            <w:pPr>
              <w:spacing w:after="240"/>
              <w:jc w:val="center"/>
              <w:rPr>
                <w:rFonts w:eastAsia="Times New Roman" w:cstheme="minorHAnsi"/>
                <w:b/>
                <w:color w:val="323232"/>
                <w:sz w:val="20"/>
                <w:szCs w:val="20"/>
              </w:rPr>
            </w:pPr>
            <w:r w:rsidRPr="00416B4B">
              <w:rPr>
                <w:rFonts w:eastAsia="Times New Roman" w:cstheme="minorHAnsi"/>
                <w:b/>
                <w:color w:val="323232"/>
                <w:sz w:val="20"/>
                <w:szCs w:val="20"/>
              </w:rPr>
              <w:t>Item</w:t>
            </w:r>
          </w:p>
        </w:tc>
        <w:tc>
          <w:tcPr>
            <w:tcW w:w="570" w:type="pct"/>
            <w:shd w:val="clear" w:color="auto" w:fill="BFBFBF" w:themeFill="background1" w:themeFillShade="BF"/>
          </w:tcPr>
          <w:p w14:paraId="443B8156" w14:textId="77777777" w:rsidR="0076425B" w:rsidRPr="00416B4B" w:rsidRDefault="0076425B" w:rsidP="00FB3884">
            <w:pPr>
              <w:spacing w:after="240"/>
              <w:jc w:val="center"/>
              <w:rPr>
                <w:rFonts w:eastAsia="Times New Roman" w:cstheme="minorHAnsi"/>
                <w:b/>
                <w:color w:val="323232"/>
                <w:sz w:val="20"/>
                <w:szCs w:val="20"/>
              </w:rPr>
            </w:pPr>
            <w:r w:rsidRPr="00416B4B">
              <w:rPr>
                <w:rFonts w:eastAsia="Times New Roman" w:cstheme="minorHAnsi"/>
                <w:b/>
                <w:color w:val="323232"/>
                <w:sz w:val="20"/>
                <w:szCs w:val="20"/>
              </w:rPr>
              <w:t>Duration</w:t>
            </w:r>
          </w:p>
        </w:tc>
      </w:tr>
      <w:tr w:rsidR="0076425B" w:rsidRPr="00416B4B" w14:paraId="226DC736" w14:textId="77777777" w:rsidTr="0076425B">
        <w:trPr>
          <w:trHeight w:hRule="exact" w:val="288"/>
          <w:jc w:val="center"/>
        </w:trPr>
        <w:tc>
          <w:tcPr>
            <w:tcW w:w="580" w:type="pct"/>
            <w:gridSpan w:val="2"/>
            <w:shd w:val="clear" w:color="auto" w:fill="D9D9D9" w:themeFill="background1" w:themeFillShade="D9"/>
            <w:vAlign w:val="center"/>
          </w:tcPr>
          <w:p w14:paraId="049B12BF" w14:textId="77777777" w:rsidR="0076425B" w:rsidRPr="00416B4B" w:rsidRDefault="0076425B" w:rsidP="00FB3884">
            <w:pPr>
              <w:spacing w:after="240"/>
              <w:jc w:val="center"/>
              <w:rPr>
                <w:rFonts w:eastAsia="Times New Roman" w:cstheme="minorHAnsi"/>
                <w:b/>
                <w:color w:val="323232"/>
                <w:sz w:val="20"/>
                <w:szCs w:val="20"/>
              </w:rPr>
            </w:pPr>
            <w:r w:rsidRPr="00416B4B">
              <w:rPr>
                <w:rFonts w:eastAsia="Times New Roman" w:cstheme="minorHAnsi"/>
                <w:b/>
                <w:color w:val="323232"/>
                <w:sz w:val="20"/>
                <w:szCs w:val="20"/>
              </w:rPr>
              <w:t>Countertops</w:t>
            </w:r>
          </w:p>
        </w:tc>
        <w:tc>
          <w:tcPr>
            <w:tcW w:w="570" w:type="pct"/>
            <w:gridSpan w:val="2"/>
            <w:shd w:val="clear" w:color="auto" w:fill="D9D9D9" w:themeFill="background1" w:themeFillShade="D9"/>
            <w:vAlign w:val="center"/>
          </w:tcPr>
          <w:p w14:paraId="4C2AD658" w14:textId="77777777" w:rsidR="0076425B" w:rsidRPr="00416B4B" w:rsidRDefault="0076425B" w:rsidP="00FB3884">
            <w:pPr>
              <w:spacing w:after="240"/>
              <w:jc w:val="center"/>
              <w:rPr>
                <w:rFonts w:eastAsia="Times New Roman" w:cstheme="minorHAnsi"/>
                <w:b/>
                <w:color w:val="323232"/>
                <w:sz w:val="20"/>
                <w:szCs w:val="20"/>
              </w:rPr>
            </w:pPr>
            <w:r w:rsidRPr="00416B4B">
              <w:rPr>
                <w:rFonts w:eastAsia="Times New Roman" w:cstheme="minorHAnsi"/>
                <w:b/>
                <w:color w:val="323232"/>
                <w:sz w:val="20"/>
                <w:szCs w:val="20"/>
              </w:rPr>
              <w:t>Workbench Accessories</w:t>
            </w:r>
          </w:p>
        </w:tc>
      </w:tr>
      <w:tr w:rsidR="0076425B" w:rsidRPr="00416B4B" w14:paraId="7639DC63" w14:textId="77777777" w:rsidTr="0076425B">
        <w:trPr>
          <w:trHeight w:hRule="exact" w:val="288"/>
          <w:jc w:val="center"/>
        </w:trPr>
        <w:tc>
          <w:tcPr>
            <w:tcW w:w="1875" w:type="pct"/>
          </w:tcPr>
          <w:p w14:paraId="688022E7"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Epoxy Resin*</w:t>
            </w:r>
          </w:p>
        </w:tc>
        <w:tc>
          <w:tcPr>
            <w:tcW w:w="580" w:type="pct"/>
          </w:tcPr>
          <w:p w14:paraId="16C7F247"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1 Year</w:t>
            </w:r>
          </w:p>
        </w:tc>
        <w:tc>
          <w:tcPr>
            <w:tcW w:w="1965" w:type="pct"/>
          </w:tcPr>
          <w:p w14:paraId="0FA65906"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Lighting*</w:t>
            </w:r>
          </w:p>
        </w:tc>
        <w:tc>
          <w:tcPr>
            <w:tcW w:w="570" w:type="pct"/>
          </w:tcPr>
          <w:p w14:paraId="7BB1FCBD"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1 Year</w:t>
            </w:r>
          </w:p>
        </w:tc>
      </w:tr>
      <w:tr w:rsidR="0076425B" w:rsidRPr="00416B4B" w14:paraId="232EF2A2" w14:textId="77777777" w:rsidTr="0076425B">
        <w:trPr>
          <w:trHeight w:hRule="exact" w:val="288"/>
          <w:jc w:val="center"/>
        </w:trPr>
        <w:tc>
          <w:tcPr>
            <w:tcW w:w="1875" w:type="pct"/>
          </w:tcPr>
          <w:p w14:paraId="24C8BA60"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Phenolic Resin*</w:t>
            </w:r>
          </w:p>
        </w:tc>
        <w:tc>
          <w:tcPr>
            <w:tcW w:w="580" w:type="pct"/>
          </w:tcPr>
          <w:p w14:paraId="43A2CAD1" w14:textId="25FDB239" w:rsidR="0076425B" w:rsidRPr="00416B4B" w:rsidRDefault="006E5650" w:rsidP="00FB3884">
            <w:pPr>
              <w:spacing w:after="240"/>
              <w:rPr>
                <w:rFonts w:eastAsia="Times New Roman" w:cstheme="minorHAnsi"/>
                <w:color w:val="323232"/>
                <w:sz w:val="20"/>
                <w:szCs w:val="20"/>
              </w:rPr>
            </w:pPr>
            <w:r>
              <w:rPr>
                <w:rFonts w:eastAsia="Times New Roman" w:cstheme="minorHAnsi"/>
                <w:color w:val="323232"/>
                <w:sz w:val="20"/>
                <w:szCs w:val="20"/>
              </w:rPr>
              <w:t>1 Year**</w:t>
            </w:r>
          </w:p>
        </w:tc>
        <w:tc>
          <w:tcPr>
            <w:tcW w:w="1965" w:type="pct"/>
          </w:tcPr>
          <w:p w14:paraId="574B9AE0"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Power Distribution*</w:t>
            </w:r>
          </w:p>
        </w:tc>
        <w:tc>
          <w:tcPr>
            <w:tcW w:w="570" w:type="pct"/>
          </w:tcPr>
          <w:p w14:paraId="0A81733F"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1 Year</w:t>
            </w:r>
          </w:p>
        </w:tc>
      </w:tr>
      <w:tr w:rsidR="0076425B" w:rsidRPr="00416B4B" w14:paraId="69998006" w14:textId="77777777" w:rsidTr="0076425B">
        <w:trPr>
          <w:trHeight w:hRule="exact" w:val="288"/>
          <w:jc w:val="center"/>
        </w:trPr>
        <w:tc>
          <w:tcPr>
            <w:tcW w:w="1875" w:type="pct"/>
          </w:tcPr>
          <w:p w14:paraId="5B1EF3E9"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Laminate</w:t>
            </w:r>
          </w:p>
        </w:tc>
        <w:tc>
          <w:tcPr>
            <w:tcW w:w="580" w:type="pct"/>
          </w:tcPr>
          <w:p w14:paraId="4D80214A"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1 Year</w:t>
            </w:r>
          </w:p>
        </w:tc>
        <w:tc>
          <w:tcPr>
            <w:tcW w:w="1965" w:type="pct"/>
          </w:tcPr>
          <w:p w14:paraId="4789E016"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Foot Options*</w:t>
            </w:r>
          </w:p>
        </w:tc>
        <w:tc>
          <w:tcPr>
            <w:tcW w:w="570" w:type="pct"/>
          </w:tcPr>
          <w:p w14:paraId="0F667B6B"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1 Year</w:t>
            </w:r>
          </w:p>
        </w:tc>
      </w:tr>
      <w:tr w:rsidR="0076425B" w:rsidRPr="00416B4B" w14:paraId="68F7D4A6" w14:textId="77777777" w:rsidTr="0076425B">
        <w:trPr>
          <w:trHeight w:hRule="exact" w:val="288"/>
          <w:jc w:val="center"/>
        </w:trPr>
        <w:tc>
          <w:tcPr>
            <w:tcW w:w="1875" w:type="pct"/>
          </w:tcPr>
          <w:p w14:paraId="40D1634F"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Maple Block*</w:t>
            </w:r>
          </w:p>
        </w:tc>
        <w:tc>
          <w:tcPr>
            <w:tcW w:w="580" w:type="pct"/>
          </w:tcPr>
          <w:p w14:paraId="3BDBB494"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1 Year</w:t>
            </w:r>
          </w:p>
        </w:tc>
        <w:tc>
          <w:tcPr>
            <w:tcW w:w="1965" w:type="pct"/>
          </w:tcPr>
          <w:p w14:paraId="76AB544D"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Shelving</w:t>
            </w:r>
          </w:p>
        </w:tc>
        <w:tc>
          <w:tcPr>
            <w:tcW w:w="570" w:type="pct"/>
          </w:tcPr>
          <w:p w14:paraId="25CDF334"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5 Years</w:t>
            </w:r>
          </w:p>
        </w:tc>
      </w:tr>
      <w:tr w:rsidR="0076425B" w:rsidRPr="00416B4B" w14:paraId="351005F1" w14:textId="77777777" w:rsidTr="0076425B">
        <w:trPr>
          <w:trHeight w:hRule="exact" w:val="288"/>
          <w:jc w:val="center"/>
        </w:trPr>
        <w:tc>
          <w:tcPr>
            <w:tcW w:w="1875" w:type="pct"/>
          </w:tcPr>
          <w:p w14:paraId="06A5DE71"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Stainless Steel</w:t>
            </w:r>
          </w:p>
        </w:tc>
        <w:tc>
          <w:tcPr>
            <w:tcW w:w="580" w:type="pct"/>
          </w:tcPr>
          <w:p w14:paraId="24534B60"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1 Year</w:t>
            </w:r>
          </w:p>
        </w:tc>
        <w:tc>
          <w:tcPr>
            <w:tcW w:w="1965" w:type="pct"/>
          </w:tcPr>
          <w:p w14:paraId="2A7F6FCD"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Hydraulic Lifts*</w:t>
            </w:r>
          </w:p>
        </w:tc>
        <w:tc>
          <w:tcPr>
            <w:tcW w:w="570" w:type="pct"/>
          </w:tcPr>
          <w:p w14:paraId="75F0E1B6"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1 Year</w:t>
            </w:r>
          </w:p>
        </w:tc>
      </w:tr>
      <w:tr w:rsidR="0076425B" w:rsidRPr="00416B4B" w14:paraId="469AF441" w14:textId="77777777" w:rsidTr="0076425B">
        <w:trPr>
          <w:trHeight w:hRule="exact" w:val="288"/>
          <w:jc w:val="center"/>
        </w:trPr>
        <w:tc>
          <w:tcPr>
            <w:tcW w:w="1875" w:type="pct"/>
          </w:tcPr>
          <w:p w14:paraId="42C0CE16"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High Density Polyethelene (HDPE)*</w:t>
            </w:r>
          </w:p>
        </w:tc>
        <w:tc>
          <w:tcPr>
            <w:tcW w:w="580" w:type="pct"/>
          </w:tcPr>
          <w:p w14:paraId="79AEEC2B"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1 Year</w:t>
            </w:r>
          </w:p>
        </w:tc>
        <w:tc>
          <w:tcPr>
            <w:tcW w:w="1965" w:type="pct"/>
          </w:tcPr>
          <w:p w14:paraId="46A72714"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Uprights</w:t>
            </w:r>
          </w:p>
        </w:tc>
        <w:tc>
          <w:tcPr>
            <w:tcW w:w="570" w:type="pct"/>
          </w:tcPr>
          <w:p w14:paraId="1593150B"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Lifetime</w:t>
            </w:r>
          </w:p>
        </w:tc>
      </w:tr>
      <w:tr w:rsidR="0076425B" w:rsidRPr="00416B4B" w14:paraId="5D1BA6DB" w14:textId="77777777" w:rsidTr="0076425B">
        <w:trPr>
          <w:trHeight w:hRule="exact" w:val="288"/>
          <w:jc w:val="center"/>
        </w:trPr>
        <w:tc>
          <w:tcPr>
            <w:tcW w:w="580" w:type="pct"/>
            <w:gridSpan w:val="2"/>
            <w:shd w:val="clear" w:color="auto" w:fill="D9D9D9" w:themeFill="background1" w:themeFillShade="D9"/>
          </w:tcPr>
          <w:p w14:paraId="4199305D" w14:textId="77777777" w:rsidR="0076425B" w:rsidRPr="00416B4B" w:rsidRDefault="0076425B" w:rsidP="00FB3884">
            <w:pPr>
              <w:spacing w:after="240"/>
              <w:jc w:val="center"/>
              <w:rPr>
                <w:rFonts w:eastAsia="Times New Roman" w:cstheme="minorHAnsi"/>
                <w:b/>
                <w:color w:val="323232"/>
                <w:sz w:val="20"/>
                <w:szCs w:val="20"/>
              </w:rPr>
            </w:pPr>
            <w:r w:rsidRPr="00416B4B">
              <w:rPr>
                <w:rFonts w:eastAsia="Times New Roman" w:cstheme="minorHAnsi"/>
                <w:b/>
                <w:color w:val="323232"/>
                <w:sz w:val="20"/>
                <w:szCs w:val="20"/>
              </w:rPr>
              <w:t>Workbench Frames</w:t>
            </w:r>
          </w:p>
        </w:tc>
        <w:tc>
          <w:tcPr>
            <w:tcW w:w="1965" w:type="pct"/>
          </w:tcPr>
          <w:p w14:paraId="2CE135F4"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Suspended Cabinets</w:t>
            </w:r>
          </w:p>
        </w:tc>
        <w:tc>
          <w:tcPr>
            <w:tcW w:w="570" w:type="pct"/>
          </w:tcPr>
          <w:p w14:paraId="56DFA722"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5 Years</w:t>
            </w:r>
          </w:p>
        </w:tc>
      </w:tr>
      <w:tr w:rsidR="0076425B" w:rsidRPr="00416B4B" w14:paraId="1B322E4D" w14:textId="77777777" w:rsidTr="0076425B">
        <w:trPr>
          <w:trHeight w:hRule="exact" w:val="288"/>
          <w:jc w:val="center"/>
        </w:trPr>
        <w:tc>
          <w:tcPr>
            <w:tcW w:w="1875" w:type="pct"/>
          </w:tcPr>
          <w:p w14:paraId="08DD01CB"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Fully Welded</w:t>
            </w:r>
          </w:p>
        </w:tc>
        <w:tc>
          <w:tcPr>
            <w:tcW w:w="580" w:type="pct"/>
          </w:tcPr>
          <w:p w14:paraId="219A813F"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Lifetime</w:t>
            </w:r>
          </w:p>
        </w:tc>
        <w:tc>
          <w:tcPr>
            <w:tcW w:w="1965" w:type="pct"/>
          </w:tcPr>
          <w:p w14:paraId="3F5CFFB7"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Integrated Technology*</w:t>
            </w:r>
          </w:p>
        </w:tc>
        <w:tc>
          <w:tcPr>
            <w:tcW w:w="570" w:type="pct"/>
          </w:tcPr>
          <w:p w14:paraId="6DCAE14D"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1 Year</w:t>
            </w:r>
          </w:p>
        </w:tc>
      </w:tr>
      <w:tr w:rsidR="0076425B" w:rsidRPr="00416B4B" w14:paraId="4351CBE0" w14:textId="77777777" w:rsidTr="0076425B">
        <w:trPr>
          <w:trHeight w:hRule="exact" w:val="288"/>
          <w:jc w:val="center"/>
        </w:trPr>
        <w:tc>
          <w:tcPr>
            <w:tcW w:w="1875" w:type="pct"/>
          </w:tcPr>
          <w:p w14:paraId="6F270607"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Bolt Together</w:t>
            </w:r>
          </w:p>
        </w:tc>
        <w:tc>
          <w:tcPr>
            <w:tcW w:w="580" w:type="pct"/>
          </w:tcPr>
          <w:p w14:paraId="471F3460"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5 Years</w:t>
            </w:r>
          </w:p>
        </w:tc>
        <w:tc>
          <w:tcPr>
            <w:tcW w:w="1965" w:type="pct"/>
          </w:tcPr>
          <w:p w14:paraId="13292E34"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Electrostatic Discharge (ESD) Devices*</w:t>
            </w:r>
          </w:p>
        </w:tc>
        <w:tc>
          <w:tcPr>
            <w:tcW w:w="570" w:type="pct"/>
          </w:tcPr>
          <w:p w14:paraId="2DDE46E0"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1 Year</w:t>
            </w:r>
          </w:p>
        </w:tc>
      </w:tr>
      <w:tr w:rsidR="0076425B" w:rsidRPr="00416B4B" w14:paraId="69BEAD94" w14:textId="77777777" w:rsidTr="0076425B">
        <w:trPr>
          <w:trHeight w:hRule="exact" w:val="288"/>
          <w:jc w:val="center"/>
        </w:trPr>
        <w:tc>
          <w:tcPr>
            <w:tcW w:w="580" w:type="pct"/>
            <w:gridSpan w:val="2"/>
            <w:shd w:val="clear" w:color="auto" w:fill="D9D9D9" w:themeFill="background1" w:themeFillShade="D9"/>
            <w:vAlign w:val="center"/>
          </w:tcPr>
          <w:p w14:paraId="34073BAC" w14:textId="77777777" w:rsidR="0076425B" w:rsidRPr="00416B4B" w:rsidRDefault="0076425B" w:rsidP="00FB3884">
            <w:pPr>
              <w:spacing w:after="240"/>
              <w:jc w:val="center"/>
              <w:rPr>
                <w:rFonts w:eastAsia="Times New Roman" w:cstheme="minorHAnsi"/>
                <w:b/>
                <w:color w:val="323232"/>
                <w:sz w:val="20"/>
                <w:szCs w:val="20"/>
              </w:rPr>
            </w:pPr>
            <w:r w:rsidRPr="00416B4B">
              <w:rPr>
                <w:rFonts w:eastAsia="Times New Roman" w:cstheme="minorHAnsi"/>
                <w:b/>
                <w:color w:val="323232"/>
                <w:sz w:val="20"/>
                <w:szCs w:val="20"/>
              </w:rPr>
              <w:t>Casework / Fume Hoods</w:t>
            </w:r>
          </w:p>
        </w:tc>
        <w:tc>
          <w:tcPr>
            <w:tcW w:w="570" w:type="pct"/>
            <w:gridSpan w:val="2"/>
            <w:shd w:val="clear" w:color="auto" w:fill="D9D9D9" w:themeFill="background1" w:themeFillShade="D9"/>
            <w:vAlign w:val="center"/>
          </w:tcPr>
          <w:p w14:paraId="14891386" w14:textId="77777777" w:rsidR="0076425B" w:rsidRPr="00416B4B" w:rsidRDefault="0076425B" w:rsidP="00FB3884">
            <w:pPr>
              <w:spacing w:after="240"/>
              <w:jc w:val="center"/>
              <w:rPr>
                <w:rFonts w:eastAsia="Times New Roman" w:cstheme="minorHAnsi"/>
                <w:b/>
                <w:color w:val="323232"/>
                <w:sz w:val="20"/>
                <w:szCs w:val="20"/>
              </w:rPr>
            </w:pPr>
            <w:r w:rsidRPr="00416B4B">
              <w:rPr>
                <w:rFonts w:eastAsia="Times New Roman" w:cstheme="minorHAnsi"/>
                <w:b/>
                <w:color w:val="323232"/>
                <w:sz w:val="20"/>
                <w:szCs w:val="20"/>
              </w:rPr>
              <w:t>Other Furnishings</w:t>
            </w:r>
          </w:p>
        </w:tc>
      </w:tr>
      <w:tr w:rsidR="0076425B" w:rsidRPr="00416B4B" w14:paraId="10520001" w14:textId="77777777" w:rsidTr="0076425B">
        <w:trPr>
          <w:trHeight w:hRule="exact" w:val="288"/>
          <w:jc w:val="center"/>
        </w:trPr>
        <w:tc>
          <w:tcPr>
            <w:tcW w:w="1875" w:type="pct"/>
          </w:tcPr>
          <w:p w14:paraId="531605EB"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Metal</w:t>
            </w:r>
          </w:p>
        </w:tc>
        <w:tc>
          <w:tcPr>
            <w:tcW w:w="580" w:type="pct"/>
          </w:tcPr>
          <w:p w14:paraId="0EEDEB94"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5 Years</w:t>
            </w:r>
          </w:p>
        </w:tc>
        <w:tc>
          <w:tcPr>
            <w:tcW w:w="1965" w:type="pct"/>
          </w:tcPr>
          <w:p w14:paraId="5873531F"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Chairs*</w:t>
            </w:r>
          </w:p>
        </w:tc>
        <w:tc>
          <w:tcPr>
            <w:tcW w:w="570" w:type="pct"/>
          </w:tcPr>
          <w:p w14:paraId="5B48BB9B"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15 Years</w:t>
            </w:r>
          </w:p>
        </w:tc>
      </w:tr>
      <w:tr w:rsidR="0076425B" w:rsidRPr="00416B4B" w14:paraId="1CA5CD1E" w14:textId="77777777" w:rsidTr="0076425B">
        <w:trPr>
          <w:trHeight w:hRule="exact" w:val="288"/>
          <w:jc w:val="center"/>
        </w:trPr>
        <w:tc>
          <w:tcPr>
            <w:tcW w:w="1875" w:type="pct"/>
          </w:tcPr>
          <w:p w14:paraId="34D6DFE9"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Metal w/ Wood Fascia</w:t>
            </w:r>
          </w:p>
        </w:tc>
        <w:tc>
          <w:tcPr>
            <w:tcW w:w="580" w:type="pct"/>
          </w:tcPr>
          <w:p w14:paraId="3258B44E"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1 Year</w:t>
            </w:r>
          </w:p>
        </w:tc>
        <w:tc>
          <w:tcPr>
            <w:tcW w:w="1965" w:type="pct"/>
          </w:tcPr>
          <w:p w14:paraId="1009D2D4"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Service Fixtures*</w:t>
            </w:r>
          </w:p>
        </w:tc>
        <w:tc>
          <w:tcPr>
            <w:tcW w:w="570" w:type="pct"/>
          </w:tcPr>
          <w:p w14:paraId="63E9D539"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1 Year</w:t>
            </w:r>
          </w:p>
        </w:tc>
      </w:tr>
      <w:tr w:rsidR="0076425B" w:rsidRPr="00416B4B" w14:paraId="01670D2B" w14:textId="77777777" w:rsidTr="0076425B">
        <w:trPr>
          <w:trHeight w:hRule="exact" w:val="288"/>
          <w:jc w:val="center"/>
        </w:trPr>
        <w:tc>
          <w:tcPr>
            <w:tcW w:w="1875" w:type="pct"/>
          </w:tcPr>
          <w:p w14:paraId="1FBAB079"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Fume Hoods*</w:t>
            </w:r>
          </w:p>
        </w:tc>
        <w:tc>
          <w:tcPr>
            <w:tcW w:w="580" w:type="pct"/>
          </w:tcPr>
          <w:p w14:paraId="5810CAC0"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1 Year</w:t>
            </w:r>
          </w:p>
        </w:tc>
        <w:tc>
          <w:tcPr>
            <w:tcW w:w="1965" w:type="pct"/>
          </w:tcPr>
          <w:p w14:paraId="173F1BD1"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Lab Flooring*</w:t>
            </w:r>
          </w:p>
        </w:tc>
        <w:tc>
          <w:tcPr>
            <w:tcW w:w="570" w:type="pct"/>
          </w:tcPr>
          <w:p w14:paraId="6B1AE243"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5 Years</w:t>
            </w:r>
          </w:p>
        </w:tc>
      </w:tr>
      <w:tr w:rsidR="0076425B" w:rsidRPr="00416B4B" w14:paraId="3C3D7398" w14:textId="77777777" w:rsidTr="0076425B">
        <w:trPr>
          <w:trHeight w:hRule="exact" w:val="288"/>
          <w:jc w:val="center"/>
        </w:trPr>
        <w:tc>
          <w:tcPr>
            <w:tcW w:w="1875" w:type="pct"/>
            <w:tcBorders>
              <w:bottom w:val="single" w:sz="4" w:space="0" w:color="auto"/>
            </w:tcBorders>
          </w:tcPr>
          <w:p w14:paraId="6970E297"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Blowers*</w:t>
            </w:r>
          </w:p>
        </w:tc>
        <w:tc>
          <w:tcPr>
            <w:tcW w:w="580" w:type="pct"/>
            <w:tcBorders>
              <w:bottom w:val="single" w:sz="4" w:space="0" w:color="auto"/>
            </w:tcBorders>
          </w:tcPr>
          <w:p w14:paraId="2AB1AEFF"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1 Year</w:t>
            </w:r>
          </w:p>
        </w:tc>
        <w:tc>
          <w:tcPr>
            <w:tcW w:w="1965" w:type="pct"/>
            <w:tcBorders>
              <w:bottom w:val="single" w:sz="4" w:space="0" w:color="auto"/>
            </w:tcBorders>
          </w:tcPr>
          <w:p w14:paraId="7D934067" w14:textId="56F3CA06" w:rsidR="0076425B" w:rsidRPr="00416B4B" w:rsidRDefault="00CE3FE9" w:rsidP="00FB3884">
            <w:pPr>
              <w:spacing w:after="240"/>
              <w:rPr>
                <w:rFonts w:eastAsia="Times New Roman" w:cstheme="minorHAnsi"/>
                <w:color w:val="323232"/>
                <w:sz w:val="20"/>
                <w:szCs w:val="20"/>
              </w:rPr>
            </w:pPr>
            <w:r>
              <w:rPr>
                <w:rFonts w:eastAsia="Times New Roman" w:cstheme="minorHAnsi"/>
                <w:color w:val="323232"/>
                <w:sz w:val="20"/>
                <w:szCs w:val="20"/>
              </w:rPr>
              <w:t xml:space="preserve">Flammable / Chemical </w:t>
            </w:r>
            <w:r w:rsidR="0076425B" w:rsidRPr="00416B4B">
              <w:rPr>
                <w:rFonts w:eastAsia="Times New Roman" w:cstheme="minorHAnsi"/>
                <w:color w:val="323232"/>
                <w:sz w:val="20"/>
                <w:szCs w:val="20"/>
              </w:rPr>
              <w:t>Safety Storage Cabinets*</w:t>
            </w:r>
          </w:p>
        </w:tc>
        <w:tc>
          <w:tcPr>
            <w:tcW w:w="570" w:type="pct"/>
            <w:tcBorders>
              <w:bottom w:val="single" w:sz="4" w:space="0" w:color="auto"/>
            </w:tcBorders>
          </w:tcPr>
          <w:p w14:paraId="151AB278" w14:textId="77777777" w:rsidR="0076425B" w:rsidRPr="00416B4B" w:rsidRDefault="0076425B" w:rsidP="00FB3884">
            <w:pPr>
              <w:spacing w:after="240"/>
              <w:rPr>
                <w:rFonts w:eastAsia="Times New Roman" w:cstheme="minorHAnsi"/>
                <w:color w:val="323232"/>
                <w:sz w:val="20"/>
                <w:szCs w:val="20"/>
              </w:rPr>
            </w:pPr>
            <w:r w:rsidRPr="00416B4B">
              <w:rPr>
                <w:rFonts w:eastAsia="Times New Roman" w:cstheme="minorHAnsi"/>
                <w:color w:val="323232"/>
                <w:sz w:val="20"/>
                <w:szCs w:val="20"/>
              </w:rPr>
              <w:t>1 Year</w:t>
            </w:r>
          </w:p>
        </w:tc>
      </w:tr>
      <w:tr w:rsidR="0076425B" w:rsidRPr="00416B4B" w14:paraId="6935278C" w14:textId="77777777" w:rsidTr="0076425B">
        <w:trPr>
          <w:trHeight w:hRule="exact" w:val="90"/>
          <w:jc w:val="center"/>
        </w:trPr>
        <w:tc>
          <w:tcPr>
            <w:tcW w:w="1875" w:type="pct"/>
            <w:tcBorders>
              <w:right w:val="nil"/>
            </w:tcBorders>
          </w:tcPr>
          <w:p w14:paraId="1C886B6F" w14:textId="77777777" w:rsidR="0076425B" w:rsidRPr="00416B4B" w:rsidRDefault="0076425B" w:rsidP="00FB3884">
            <w:pPr>
              <w:spacing w:after="240"/>
              <w:rPr>
                <w:rFonts w:eastAsia="Times New Roman" w:cstheme="minorHAnsi"/>
                <w:color w:val="323232"/>
                <w:sz w:val="20"/>
                <w:szCs w:val="20"/>
              </w:rPr>
            </w:pPr>
          </w:p>
        </w:tc>
        <w:tc>
          <w:tcPr>
            <w:tcW w:w="580" w:type="pct"/>
            <w:tcBorders>
              <w:left w:val="nil"/>
              <w:right w:val="nil"/>
            </w:tcBorders>
          </w:tcPr>
          <w:p w14:paraId="388E334D" w14:textId="77777777" w:rsidR="0076425B" w:rsidRPr="00416B4B" w:rsidRDefault="0076425B" w:rsidP="00FB3884">
            <w:pPr>
              <w:spacing w:after="240"/>
              <w:rPr>
                <w:rFonts w:eastAsia="Times New Roman" w:cstheme="minorHAnsi"/>
                <w:color w:val="323232"/>
                <w:sz w:val="20"/>
                <w:szCs w:val="20"/>
              </w:rPr>
            </w:pPr>
          </w:p>
        </w:tc>
        <w:tc>
          <w:tcPr>
            <w:tcW w:w="1965" w:type="pct"/>
            <w:tcBorders>
              <w:left w:val="nil"/>
              <w:right w:val="nil"/>
            </w:tcBorders>
          </w:tcPr>
          <w:p w14:paraId="4252F0BB" w14:textId="77777777" w:rsidR="0076425B" w:rsidRPr="00416B4B" w:rsidRDefault="0076425B" w:rsidP="00FB3884">
            <w:pPr>
              <w:spacing w:after="240"/>
              <w:rPr>
                <w:rFonts w:eastAsia="Times New Roman" w:cstheme="minorHAnsi"/>
                <w:color w:val="323232"/>
                <w:sz w:val="20"/>
                <w:szCs w:val="20"/>
              </w:rPr>
            </w:pPr>
          </w:p>
        </w:tc>
        <w:tc>
          <w:tcPr>
            <w:tcW w:w="570" w:type="pct"/>
            <w:tcBorders>
              <w:left w:val="nil"/>
            </w:tcBorders>
          </w:tcPr>
          <w:p w14:paraId="02EA1506" w14:textId="77777777" w:rsidR="0076425B" w:rsidRPr="00416B4B" w:rsidRDefault="0076425B" w:rsidP="00FB3884">
            <w:pPr>
              <w:spacing w:after="240"/>
              <w:rPr>
                <w:rFonts w:eastAsia="Times New Roman" w:cstheme="minorHAnsi"/>
                <w:color w:val="323232"/>
                <w:sz w:val="20"/>
                <w:szCs w:val="20"/>
              </w:rPr>
            </w:pPr>
          </w:p>
        </w:tc>
      </w:tr>
      <w:tr w:rsidR="0076425B" w:rsidRPr="00416B4B" w14:paraId="70223FA9" w14:textId="77777777" w:rsidTr="0076425B">
        <w:trPr>
          <w:trHeight w:hRule="exact" w:val="288"/>
          <w:jc w:val="center"/>
        </w:trPr>
        <w:tc>
          <w:tcPr>
            <w:tcW w:w="570" w:type="pct"/>
            <w:gridSpan w:val="4"/>
            <w:shd w:val="clear" w:color="auto" w:fill="BFBFBF" w:themeFill="background1" w:themeFillShade="BF"/>
          </w:tcPr>
          <w:p w14:paraId="373B11AF" w14:textId="20FE4E42" w:rsidR="0076425B" w:rsidRPr="00416B4B" w:rsidRDefault="0076425B" w:rsidP="00FB3884">
            <w:pPr>
              <w:spacing w:after="240"/>
              <w:jc w:val="center"/>
              <w:rPr>
                <w:rFonts w:eastAsia="Times New Roman" w:cstheme="minorHAnsi"/>
                <w:b/>
                <w:color w:val="323232"/>
                <w:sz w:val="16"/>
                <w:szCs w:val="16"/>
              </w:rPr>
            </w:pPr>
            <w:r w:rsidRPr="00416B4B">
              <w:rPr>
                <w:rFonts w:eastAsia="Times New Roman" w:cstheme="minorHAnsi"/>
                <w:b/>
                <w:sz w:val="16"/>
                <w:szCs w:val="16"/>
              </w:rPr>
              <w:t>*Item is supplied by a third party; specific warranty will be assigned to the</w:t>
            </w:r>
            <w:r w:rsidR="00190F4B">
              <w:rPr>
                <w:rFonts w:eastAsia="Times New Roman" w:cstheme="minorHAnsi"/>
                <w:b/>
                <w:sz w:val="16"/>
                <w:szCs w:val="16"/>
              </w:rPr>
              <w:t xml:space="preserve"> fullest extent allowed. || </w:t>
            </w:r>
            <w:r w:rsidR="006E5650">
              <w:rPr>
                <w:rFonts w:eastAsia="Times New Roman" w:cstheme="minorHAnsi"/>
                <w:b/>
                <w:sz w:val="16"/>
                <w:szCs w:val="16"/>
              </w:rPr>
              <w:t>**10 Year Delamination Warranty</w:t>
            </w:r>
          </w:p>
        </w:tc>
      </w:tr>
    </w:tbl>
    <w:p w14:paraId="691398C7" w14:textId="5009BEBD" w:rsidR="0076425B" w:rsidRPr="00416B4B" w:rsidRDefault="0076425B" w:rsidP="0076425B">
      <w:pPr>
        <w:jc w:val="center"/>
        <w:rPr>
          <w:rFonts w:cstheme="minorHAnsi"/>
        </w:rPr>
      </w:pPr>
    </w:p>
    <w:p w14:paraId="20E7477B" w14:textId="6664202D" w:rsidR="0076425B" w:rsidRPr="00416B4B" w:rsidRDefault="0076425B" w:rsidP="00FB3884">
      <w:pPr>
        <w:jc w:val="center"/>
        <w:rPr>
          <w:rFonts w:cstheme="minorHAnsi"/>
          <w:b/>
          <w:sz w:val="24"/>
        </w:rPr>
      </w:pPr>
      <w:r w:rsidRPr="00416B4B">
        <w:rPr>
          <w:rFonts w:cstheme="minorHAnsi"/>
          <w:b/>
          <w:sz w:val="24"/>
        </w:rPr>
        <w:t>WHAT IS NOT COVERED</w:t>
      </w:r>
    </w:p>
    <w:p w14:paraId="362EAB96" w14:textId="77777777" w:rsidR="0076425B" w:rsidRPr="00416B4B" w:rsidRDefault="0076425B" w:rsidP="00FB3884">
      <w:pPr>
        <w:spacing w:after="240" w:line="240" w:lineRule="auto"/>
        <w:jc w:val="both"/>
        <w:rPr>
          <w:rFonts w:eastAsia="Times New Roman" w:cstheme="minorHAnsi"/>
          <w:color w:val="323232"/>
          <w:sz w:val="20"/>
          <w:szCs w:val="20"/>
        </w:rPr>
      </w:pPr>
      <w:r w:rsidRPr="00416B4B">
        <w:rPr>
          <w:rFonts w:eastAsia="Times New Roman" w:cstheme="minorHAnsi"/>
          <w:color w:val="323232"/>
          <w:sz w:val="20"/>
          <w:szCs w:val="20"/>
        </w:rPr>
        <w:t>Defects resulting from normal wear and tear, color/grain variations, changes in surface finishes due to exposure to light, faulty installation, operation, disassembly, or remodeling, or from misuse, misapplication, neglect, abuse, accident, alteration, or the lack of proper maintenance, storage, cleaning, and care are not covered by OnePointe’s limited warranty.</w:t>
      </w:r>
    </w:p>
    <w:p w14:paraId="37795B0E" w14:textId="77777777" w:rsidR="0076425B" w:rsidRPr="00416B4B" w:rsidRDefault="0076425B" w:rsidP="00FB3884">
      <w:pPr>
        <w:spacing w:after="240" w:line="240" w:lineRule="auto"/>
        <w:jc w:val="both"/>
        <w:rPr>
          <w:rFonts w:eastAsia="Times New Roman" w:cstheme="minorHAnsi"/>
          <w:color w:val="323232"/>
          <w:sz w:val="20"/>
          <w:szCs w:val="20"/>
        </w:rPr>
      </w:pPr>
      <w:r w:rsidRPr="00416B4B">
        <w:rPr>
          <w:rFonts w:eastAsia="Times New Roman" w:cstheme="minorHAnsi"/>
          <w:color w:val="323232"/>
          <w:sz w:val="20"/>
          <w:szCs w:val="20"/>
        </w:rPr>
        <w:t>Products that are exposed to extreme environmental conditions or that have been subject to improper storage are not covered by OnePointe’s limited warranty.</w:t>
      </w:r>
    </w:p>
    <w:p w14:paraId="261ADCC2" w14:textId="77777777" w:rsidR="00CE3FE9" w:rsidRDefault="0076425B" w:rsidP="00CE3FE9">
      <w:pPr>
        <w:spacing w:after="240" w:line="240" w:lineRule="auto"/>
        <w:jc w:val="both"/>
        <w:rPr>
          <w:rFonts w:cstheme="minorHAnsi"/>
          <w:sz w:val="20"/>
          <w:szCs w:val="20"/>
        </w:rPr>
      </w:pPr>
      <w:r w:rsidRPr="00416B4B">
        <w:rPr>
          <w:rFonts w:cstheme="minorHAnsi"/>
          <w:sz w:val="20"/>
          <w:szCs w:val="20"/>
        </w:rPr>
        <w:t>OnePointe does not provide warranty on components manufactured by others - only the original manufacturer's warranty applies.</w:t>
      </w:r>
    </w:p>
    <w:p w14:paraId="4C03384E" w14:textId="3BD99AF7" w:rsidR="0076425B" w:rsidRPr="00CE3FE9" w:rsidRDefault="0076425B" w:rsidP="00CE3FE9">
      <w:pPr>
        <w:spacing w:after="240" w:line="240" w:lineRule="auto"/>
        <w:jc w:val="center"/>
        <w:rPr>
          <w:rFonts w:cstheme="minorHAnsi"/>
          <w:sz w:val="20"/>
          <w:szCs w:val="20"/>
        </w:rPr>
      </w:pPr>
      <w:r w:rsidRPr="00416B4B">
        <w:rPr>
          <w:rFonts w:cstheme="minorHAnsi"/>
          <w:b/>
          <w:sz w:val="24"/>
        </w:rPr>
        <w:lastRenderedPageBreak/>
        <w:t>WHAT ONEPOINTE SOLUTIONS WILL DO</w:t>
      </w:r>
    </w:p>
    <w:p w14:paraId="508C52C9" w14:textId="77777777" w:rsidR="0076425B" w:rsidRPr="00416B4B" w:rsidRDefault="0076425B" w:rsidP="00FB3884">
      <w:pPr>
        <w:spacing w:after="240" w:line="240" w:lineRule="auto"/>
        <w:jc w:val="both"/>
        <w:rPr>
          <w:rFonts w:eastAsia="Times New Roman" w:cstheme="minorHAnsi"/>
          <w:color w:val="323232"/>
          <w:sz w:val="20"/>
          <w:szCs w:val="20"/>
        </w:rPr>
      </w:pPr>
      <w:r w:rsidRPr="00416B4B">
        <w:rPr>
          <w:rFonts w:eastAsia="Times New Roman" w:cstheme="minorHAnsi"/>
          <w:color w:val="323232"/>
          <w:sz w:val="20"/>
          <w:szCs w:val="20"/>
        </w:rPr>
        <w:t>OnePointe, as its sole obligation, will repair or replace (at its option) any product, part, or component covered by this warranty which fails perform to the product’s specifications. If OnePointe acknowledges that any such defects found within the warranty period are the result of faulty material or workmanship, will repair or replace the product, part, or component with a comparable product, part, or component at its own expense.  OnePointe may elect to provide on-site repair of defective product and in these cases, Buyer agrees to allow OnePointe factory technicians or authorized representative reasonable and timely access to jobsite during normal business hours. Repairs or replacement of product under warranty does not extend the original warranty period.</w:t>
      </w:r>
    </w:p>
    <w:p w14:paraId="3250BDD7" w14:textId="77777777" w:rsidR="0076425B" w:rsidRPr="00416B4B" w:rsidRDefault="0076425B" w:rsidP="00FB3884">
      <w:pPr>
        <w:jc w:val="both"/>
        <w:rPr>
          <w:rFonts w:cstheme="minorHAnsi"/>
          <w:sz w:val="20"/>
          <w:szCs w:val="20"/>
        </w:rPr>
      </w:pPr>
      <w:r w:rsidRPr="00416B4B">
        <w:rPr>
          <w:rFonts w:cstheme="minorHAnsi"/>
          <w:sz w:val="20"/>
          <w:szCs w:val="20"/>
        </w:rPr>
        <w:t>THERE ARE NO OTHER WARRANTIES, EXPRESSED OR IMPLIED, WHICH EXTEND BEYOND THE FACE HEREOF INCLUDING, WITHOUT LIMITATION, WARRANTIES OF MERCHANTABILITY OR FITNESS FOR APARTICULAR USE.</w:t>
      </w:r>
    </w:p>
    <w:p w14:paraId="5E8FAC42" w14:textId="77777777" w:rsidR="0076425B" w:rsidRPr="00416B4B" w:rsidRDefault="0076425B" w:rsidP="00FB3884">
      <w:pPr>
        <w:jc w:val="both"/>
        <w:rPr>
          <w:rFonts w:cstheme="minorHAnsi"/>
          <w:sz w:val="20"/>
          <w:szCs w:val="20"/>
        </w:rPr>
      </w:pPr>
      <w:r w:rsidRPr="00416B4B">
        <w:rPr>
          <w:rFonts w:cstheme="minorHAnsi"/>
          <w:sz w:val="20"/>
          <w:szCs w:val="20"/>
        </w:rPr>
        <w:t xml:space="preserve">The liability and remedy set forth above, in the event of a breach by OnePointe of its warranties set forth above or any of the covenants or agreements relating to the sale of the products to the Purchaser, shall be the sole and exclusive remedy to the Purchaser. In no event shall OnePointe's liability exceed the amount paid, excluding installation, by the Purchaser to OnePointe or any of its dealers or agents for the products to which the breach applies. </w:t>
      </w:r>
    </w:p>
    <w:p w14:paraId="48D040EF" w14:textId="77777777" w:rsidR="0076425B" w:rsidRPr="00416B4B" w:rsidRDefault="0076425B" w:rsidP="00FB3884">
      <w:pPr>
        <w:jc w:val="both"/>
        <w:rPr>
          <w:rFonts w:cstheme="minorHAnsi"/>
          <w:b/>
          <w:sz w:val="20"/>
          <w:szCs w:val="20"/>
        </w:rPr>
      </w:pPr>
      <w:r w:rsidRPr="00416B4B">
        <w:rPr>
          <w:rFonts w:cstheme="minorHAnsi"/>
          <w:b/>
          <w:sz w:val="20"/>
          <w:szCs w:val="20"/>
        </w:rPr>
        <w:t>In no event shall OnePointe be liable to the Purchaser for any consequential or indirect damages including, but not limited to, loss of income, revenue, or profits in the event of a breach of any of the warranties or other covenants made by OnePointe with respect to the sale of OnePointe products to the Purchaser.</w:t>
      </w:r>
    </w:p>
    <w:p w14:paraId="7857EC4F" w14:textId="77777777" w:rsidR="0076425B" w:rsidRPr="00416B4B" w:rsidRDefault="0076425B" w:rsidP="00FB3884">
      <w:pPr>
        <w:jc w:val="both"/>
        <w:rPr>
          <w:rFonts w:cstheme="minorHAnsi"/>
          <w:sz w:val="20"/>
          <w:szCs w:val="20"/>
        </w:rPr>
      </w:pPr>
      <w:r w:rsidRPr="00416B4B">
        <w:rPr>
          <w:rFonts w:cstheme="minorHAnsi"/>
          <w:sz w:val="20"/>
          <w:szCs w:val="20"/>
        </w:rPr>
        <w:t>The foregoing may not be modified except by a written amendment signed by OnePointe. The Purchaser, by accepting delivery of any product manufactured by OnePointe, hereby accepts the foregoing, and expressly waives any other remedy and damages, direct, indirect, and consequential.</w:t>
      </w:r>
    </w:p>
    <w:p w14:paraId="0047113C" w14:textId="618359B1" w:rsidR="0076425B" w:rsidRPr="00416B4B" w:rsidRDefault="0076425B" w:rsidP="00FB3884">
      <w:pPr>
        <w:jc w:val="center"/>
        <w:rPr>
          <w:rFonts w:cstheme="minorHAnsi"/>
          <w:b/>
          <w:sz w:val="24"/>
        </w:rPr>
      </w:pPr>
      <w:r w:rsidRPr="00416B4B">
        <w:rPr>
          <w:rFonts w:cstheme="minorHAnsi"/>
          <w:b/>
          <w:sz w:val="24"/>
        </w:rPr>
        <w:t>HOW TO GET SERVICE</w:t>
      </w:r>
    </w:p>
    <w:p w14:paraId="01E47BCD" w14:textId="77777777" w:rsidR="0076425B" w:rsidRPr="00416B4B" w:rsidRDefault="0076425B" w:rsidP="00FB3884">
      <w:pPr>
        <w:spacing w:after="240" w:line="240" w:lineRule="auto"/>
        <w:jc w:val="both"/>
        <w:rPr>
          <w:rFonts w:eastAsia="Times New Roman" w:cstheme="minorHAnsi"/>
          <w:color w:val="323232"/>
          <w:sz w:val="20"/>
          <w:szCs w:val="20"/>
        </w:rPr>
      </w:pPr>
      <w:r w:rsidRPr="00416B4B">
        <w:rPr>
          <w:rFonts w:eastAsia="Times New Roman" w:cstheme="minorHAnsi"/>
          <w:color w:val="323232"/>
          <w:sz w:val="20"/>
          <w:szCs w:val="20"/>
        </w:rPr>
        <w:t xml:space="preserve">Contact OnePointe Solutions for any warranty questions or claims by phone 512.652.6292, or email </w:t>
      </w:r>
      <w:hyperlink r:id="rId15" w:history="1">
        <w:r w:rsidRPr="00416B4B">
          <w:rPr>
            <w:rStyle w:val="Hyperlink"/>
            <w:rFonts w:eastAsia="Times New Roman" w:cstheme="minorHAnsi"/>
            <w:sz w:val="20"/>
            <w:szCs w:val="20"/>
          </w:rPr>
          <w:t>warranty@onepointesolutions.com</w:t>
        </w:r>
      </w:hyperlink>
      <w:r w:rsidRPr="00416B4B">
        <w:rPr>
          <w:rFonts w:eastAsia="Times New Roman" w:cstheme="minorHAnsi"/>
          <w:color w:val="323232"/>
          <w:sz w:val="20"/>
          <w:szCs w:val="20"/>
        </w:rPr>
        <w:t>.</w:t>
      </w:r>
    </w:p>
    <w:p w14:paraId="356E0EA9" w14:textId="77777777" w:rsidR="0076425B" w:rsidRPr="00B60340" w:rsidRDefault="0076425B" w:rsidP="00FB3884">
      <w:pPr>
        <w:spacing w:after="240" w:line="240" w:lineRule="auto"/>
        <w:jc w:val="both"/>
        <w:rPr>
          <w:rFonts w:eastAsia="Times New Roman" w:cstheme="minorHAnsi"/>
          <w:color w:val="323232"/>
          <w:sz w:val="20"/>
          <w:szCs w:val="20"/>
        </w:rPr>
      </w:pPr>
      <w:r w:rsidRPr="00416B4B">
        <w:rPr>
          <w:rFonts w:cstheme="minorHAnsi"/>
          <w:sz w:val="20"/>
          <w:szCs w:val="20"/>
        </w:rPr>
        <w:t>No product or parts thereof shall be returned to OnePointe or any of its dealers or agents without OnePointe's prior written consent. Product returned to OnePointe shall be shipped at buyers cost and risk of loss. Replacement product shall be returned at OnePointe's cost and risk of loss.</w:t>
      </w:r>
    </w:p>
    <w:p w14:paraId="0714B3DF" w14:textId="4D1A712B" w:rsidR="0076425B" w:rsidRPr="00416B4B" w:rsidRDefault="0076425B" w:rsidP="00FB3884">
      <w:pPr>
        <w:jc w:val="center"/>
        <w:rPr>
          <w:rFonts w:cstheme="minorHAnsi"/>
          <w:b/>
          <w:sz w:val="24"/>
        </w:rPr>
      </w:pPr>
      <w:r w:rsidRPr="00416B4B">
        <w:rPr>
          <w:rFonts w:cstheme="minorHAnsi"/>
          <w:b/>
          <w:sz w:val="24"/>
        </w:rPr>
        <w:t>HOW STATE LAW APPLIES</w:t>
      </w:r>
    </w:p>
    <w:p w14:paraId="1901D68A" w14:textId="77777777" w:rsidR="0076425B" w:rsidRPr="00416B4B" w:rsidRDefault="0076425B" w:rsidP="00FB3884">
      <w:pPr>
        <w:spacing w:after="240" w:line="240" w:lineRule="auto"/>
        <w:jc w:val="both"/>
        <w:rPr>
          <w:rFonts w:cstheme="minorHAnsi"/>
        </w:rPr>
      </w:pPr>
      <w:r w:rsidRPr="00B60340">
        <w:rPr>
          <w:rFonts w:eastAsia="Times New Roman" w:cstheme="minorHAnsi"/>
          <w:color w:val="323232"/>
          <w:sz w:val="20"/>
          <w:szCs w:val="20"/>
        </w:rPr>
        <w:t>This warranty gives you specific legal rights, and you may also have other rights which vary from state to state.</w:t>
      </w:r>
    </w:p>
    <w:sectPr w:rsidR="0076425B" w:rsidRPr="00416B4B" w:rsidSect="00ED503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72086" w14:textId="77777777" w:rsidR="0048574E" w:rsidRDefault="0048574E" w:rsidP="00ED5034">
      <w:pPr>
        <w:spacing w:after="0" w:line="240" w:lineRule="auto"/>
      </w:pPr>
      <w:r>
        <w:separator/>
      </w:r>
    </w:p>
  </w:endnote>
  <w:endnote w:type="continuationSeparator" w:id="0">
    <w:p w14:paraId="5B73CC5D" w14:textId="77777777" w:rsidR="0048574E" w:rsidRDefault="0048574E" w:rsidP="00ED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200DE" w14:textId="77777777" w:rsidR="00FB3884" w:rsidRDefault="00FB3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2A53C" w14:textId="45602504" w:rsidR="00FB3884" w:rsidRPr="00ED5034" w:rsidRDefault="00CF4DE8" w:rsidP="00ED5034">
    <w:pPr>
      <w:pStyle w:val="Footer"/>
      <w:jc w:val="right"/>
      <w:rPr>
        <w:sz w:val="16"/>
        <w:szCs w:val="16"/>
      </w:rPr>
    </w:pPr>
    <w:r>
      <w:rPr>
        <w:noProof/>
        <w:sz w:val="16"/>
        <w:szCs w:val="16"/>
      </w:rPr>
      <mc:AlternateContent>
        <mc:Choice Requires="wps">
          <w:drawing>
            <wp:anchor distT="0" distB="0" distL="114300" distR="114300" simplePos="0" relativeHeight="251659264" behindDoc="0" locked="0" layoutInCell="0" allowOverlap="1" wp14:anchorId="1478E711" wp14:editId="664467CE">
              <wp:simplePos x="0" y="0"/>
              <wp:positionH relativeFrom="page">
                <wp:posOffset>0</wp:posOffset>
              </wp:positionH>
              <wp:positionV relativeFrom="page">
                <wp:posOffset>9601200</wp:posOffset>
              </wp:positionV>
              <wp:extent cx="7772400" cy="266700"/>
              <wp:effectExtent l="0" t="0" r="0" b="0"/>
              <wp:wrapNone/>
              <wp:docPr id="2" name="MSIPCM834a438aa78dd7a1c0dabc55" descr="{&quot;HashCode&quot;:-85378379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05BD53" w14:textId="6CFF55AB" w:rsidR="00CF4DE8" w:rsidRPr="00CF4DE8" w:rsidRDefault="00CF4DE8" w:rsidP="00CF4DE8">
                          <w:pPr>
                            <w:spacing w:after="0"/>
                            <w:rPr>
                              <w:rFonts w:ascii="Calibri" w:hAnsi="Calibri" w:cs="Calibri"/>
                              <w:color w:val="000000"/>
                              <w:sz w:val="20"/>
                            </w:rPr>
                          </w:pPr>
                          <w:r w:rsidRPr="00CF4DE8">
                            <w:rPr>
                              <w:rFonts w:ascii="Calibri" w:hAnsi="Calibri" w:cs="Calibri"/>
                              <w:color w:val="000000"/>
                              <w:sz w:val="20"/>
                            </w:rPr>
                            <w:t>IPS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478E711" id="_x0000_t202" coordsize="21600,21600" o:spt="202" path="m,l,21600r21600,l21600,xe">
              <v:stroke joinstyle="miter"/>
              <v:path gradientshapeok="t" o:connecttype="rect"/>
            </v:shapetype>
            <v:shape id="MSIPCM834a438aa78dd7a1c0dabc55" o:spid="_x0000_s1026" type="#_x0000_t202" alt="{&quot;HashCode&quot;:-853783797,&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" o:allowincell="f" filled="f" stroked="f" strokeweight=".5pt">
              <v:fill o:detectmouseclick="t"/>
              <v:textbox inset="20pt,0,,0">
                <w:txbxContent>
                  <w:p w14:paraId="2705BD53" w14:textId="6CFF55AB" w:rsidR="00CF4DE8" w:rsidRPr="00CF4DE8" w:rsidRDefault="00CF4DE8" w:rsidP="00CF4DE8">
                    <w:pPr>
                      <w:spacing w:after="0"/>
                      <w:rPr>
                        <w:rFonts w:ascii="Calibri" w:hAnsi="Calibri" w:cs="Calibri"/>
                        <w:color w:val="000000"/>
                        <w:sz w:val="20"/>
                      </w:rPr>
                    </w:pPr>
                    <w:r w:rsidRPr="00CF4DE8">
                      <w:rPr>
                        <w:rFonts w:ascii="Calibri" w:hAnsi="Calibri" w:cs="Calibri"/>
                        <w:color w:val="000000"/>
                        <w:sz w:val="20"/>
                      </w:rPr>
                      <w:t>IPS Classification: General</w:t>
                    </w:r>
                  </w:p>
                </w:txbxContent>
              </v:textbox>
              <w10:wrap anchorx="page" anchory="page"/>
            </v:shape>
          </w:pict>
        </mc:Fallback>
      </mc:AlternateContent>
    </w:r>
    <w:r w:rsidR="00FB3884">
      <w:rPr>
        <w:sz w:val="16"/>
        <w:szCs w:val="16"/>
      </w:rPr>
      <w:t>Limited Warranty</w:t>
    </w:r>
  </w:p>
  <w:p w14:paraId="1529D574" w14:textId="77777777" w:rsidR="00FB3884" w:rsidRPr="00ED5034" w:rsidRDefault="00FB3884" w:rsidP="00ED5034">
    <w:pPr>
      <w:pStyle w:val="Footer"/>
      <w:jc w:val="right"/>
      <w:rPr>
        <w:sz w:val="16"/>
        <w:szCs w:val="16"/>
      </w:rPr>
    </w:pPr>
    <w:r w:rsidRPr="00ED5034">
      <w:rPr>
        <w:sz w:val="16"/>
        <w:szCs w:val="16"/>
      </w:rPr>
      <w:t>Effective September 1, 2016</w:t>
    </w:r>
  </w:p>
  <w:p w14:paraId="00EE70C7" w14:textId="7920E2A8" w:rsidR="00FB3884" w:rsidRPr="00ED5034" w:rsidRDefault="00FB3884" w:rsidP="00ED5034">
    <w:pPr>
      <w:pStyle w:val="Footer"/>
      <w:jc w:val="right"/>
      <w:rPr>
        <w:sz w:val="16"/>
        <w:szCs w:val="16"/>
      </w:rPr>
    </w:pPr>
    <w:r w:rsidRPr="00ED5034">
      <w:rPr>
        <w:sz w:val="16"/>
        <w:szCs w:val="16"/>
      </w:rPr>
      <w:tab/>
    </w:r>
    <w:r w:rsidRPr="00ED5034">
      <w:rPr>
        <w:sz w:val="16"/>
        <w:szCs w:val="16"/>
      </w:rPr>
      <w:tab/>
      <w:t xml:space="preserve">Page </w:t>
    </w:r>
    <w:r w:rsidRPr="00ED5034">
      <w:rPr>
        <w:sz w:val="16"/>
        <w:szCs w:val="16"/>
      </w:rPr>
      <w:fldChar w:fldCharType="begin"/>
    </w:r>
    <w:r w:rsidRPr="00ED5034">
      <w:rPr>
        <w:sz w:val="16"/>
        <w:szCs w:val="16"/>
      </w:rPr>
      <w:instrText xml:space="preserve"> PAGE  \* Arabic  \* MERGEFORMAT </w:instrText>
    </w:r>
    <w:r w:rsidRPr="00ED5034">
      <w:rPr>
        <w:sz w:val="16"/>
        <w:szCs w:val="16"/>
      </w:rPr>
      <w:fldChar w:fldCharType="separate"/>
    </w:r>
    <w:r w:rsidR="00190F4B">
      <w:rPr>
        <w:noProof/>
        <w:sz w:val="16"/>
        <w:szCs w:val="16"/>
      </w:rPr>
      <w:t>1</w:t>
    </w:r>
    <w:r w:rsidRPr="00ED5034">
      <w:rPr>
        <w:sz w:val="16"/>
        <w:szCs w:val="16"/>
      </w:rPr>
      <w:fldChar w:fldCharType="end"/>
    </w:r>
    <w:r>
      <w:rPr>
        <w:sz w:val="16"/>
        <w:szCs w:val="16"/>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5E3A2" w14:textId="77777777" w:rsidR="00FB3884" w:rsidRDefault="00FB3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836F2" w14:textId="77777777" w:rsidR="0048574E" w:rsidRDefault="0048574E" w:rsidP="00ED5034">
      <w:pPr>
        <w:spacing w:after="0" w:line="240" w:lineRule="auto"/>
      </w:pPr>
      <w:r>
        <w:separator/>
      </w:r>
    </w:p>
  </w:footnote>
  <w:footnote w:type="continuationSeparator" w:id="0">
    <w:p w14:paraId="53F2F43B" w14:textId="77777777" w:rsidR="0048574E" w:rsidRDefault="0048574E" w:rsidP="00ED5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F919C" w14:textId="77777777" w:rsidR="00FB3884" w:rsidRDefault="00FB3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89959" w14:textId="62A1209E" w:rsidR="00FB3884" w:rsidRDefault="00FB3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12B77" w14:textId="77777777" w:rsidR="00FB3884" w:rsidRDefault="00FB3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B566B"/>
    <w:multiLevelType w:val="hybridMultilevel"/>
    <w:tmpl w:val="5CB4F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034"/>
    <w:rsid w:val="00190F4B"/>
    <w:rsid w:val="00416B4B"/>
    <w:rsid w:val="0048574E"/>
    <w:rsid w:val="006E5650"/>
    <w:rsid w:val="00732D50"/>
    <w:rsid w:val="0076425B"/>
    <w:rsid w:val="00AD6504"/>
    <w:rsid w:val="00BA2D5E"/>
    <w:rsid w:val="00C20404"/>
    <w:rsid w:val="00C55BC0"/>
    <w:rsid w:val="00CE3FE9"/>
    <w:rsid w:val="00CF4DE8"/>
    <w:rsid w:val="00E31E65"/>
    <w:rsid w:val="00ED5034"/>
    <w:rsid w:val="00FB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8CB3D8"/>
  <w15:chartTrackingRefBased/>
  <w15:docId w15:val="{288C79AF-FA58-4E4D-A8E6-9B0C49CC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034"/>
    <w:pPr>
      <w:ind w:left="720"/>
      <w:contextualSpacing/>
    </w:pPr>
  </w:style>
  <w:style w:type="paragraph" w:styleId="Header">
    <w:name w:val="header"/>
    <w:basedOn w:val="Normal"/>
    <w:link w:val="HeaderChar"/>
    <w:uiPriority w:val="99"/>
    <w:unhideWhenUsed/>
    <w:rsid w:val="00ED5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34"/>
  </w:style>
  <w:style w:type="paragraph" w:styleId="Footer">
    <w:name w:val="footer"/>
    <w:basedOn w:val="Normal"/>
    <w:link w:val="FooterChar"/>
    <w:uiPriority w:val="99"/>
    <w:unhideWhenUsed/>
    <w:rsid w:val="00ED5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34"/>
  </w:style>
  <w:style w:type="table" w:styleId="TableGrid">
    <w:name w:val="Table Grid"/>
    <w:basedOn w:val="TableNormal"/>
    <w:uiPriority w:val="39"/>
    <w:rsid w:val="00764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25B"/>
    <w:rPr>
      <w:color w:val="0563C1" w:themeColor="hyperlink"/>
      <w:u w:val="single"/>
    </w:rPr>
  </w:style>
  <w:style w:type="paragraph" w:styleId="BalloonText">
    <w:name w:val="Balloon Text"/>
    <w:basedOn w:val="Normal"/>
    <w:link w:val="BalloonTextChar"/>
    <w:uiPriority w:val="99"/>
    <w:semiHidden/>
    <w:unhideWhenUsed/>
    <w:rsid w:val="00416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B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warranty@onepointesolutions.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83A45-8D72-4378-929E-47CBEA3F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737</Words>
  <Characters>4203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Carlson</dc:creator>
  <cp:keywords/>
  <dc:description/>
  <cp:lastModifiedBy>Matt Benson</cp:lastModifiedBy>
  <cp:revision>2</cp:revision>
  <cp:lastPrinted>2016-09-02T18:22:00Z</cp:lastPrinted>
  <dcterms:created xsi:type="dcterms:W3CDTF">2019-10-03T15:52:00Z</dcterms:created>
  <dcterms:modified xsi:type="dcterms:W3CDTF">2019-10-03T15:52:00Z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9ee598-6f58-4d3e-810b-6adb7706b30f_Enabled">
    <vt:lpwstr>True</vt:lpwstr>
  </property>
  <property fmtid="{D5CDD505-2E9C-101B-9397-08002B2CF9AE}" pid="3" name="MSIP_Label_089ee598-6f58-4d3e-810b-6adb7706b30f_SiteId">
    <vt:lpwstr>c33a4109-df61-4441-b3ea-84af752a0efa</vt:lpwstr>
  </property>
  <property fmtid="{D5CDD505-2E9C-101B-9397-08002B2CF9AE}" pid="4" name="MSIP_Label_089ee598-6f58-4d3e-810b-6adb7706b30f_Owner">
    <vt:lpwstr>MBenson@onepointesolutions.com</vt:lpwstr>
  </property>
  <property fmtid="{D5CDD505-2E9C-101B-9397-08002B2CF9AE}" pid="5" name="MSIP_Label_089ee598-6f58-4d3e-810b-6adb7706b30f_SetDate">
    <vt:lpwstr>2019-10-03T15:52:48.9263301Z</vt:lpwstr>
  </property>
  <property fmtid="{D5CDD505-2E9C-101B-9397-08002B2CF9AE}" pid="6" name="MSIP_Label_089ee598-6f58-4d3e-810b-6adb7706b30f_Name">
    <vt:lpwstr>General</vt:lpwstr>
  </property>
  <property fmtid="{D5CDD505-2E9C-101B-9397-08002B2CF9AE}" pid="7" name="MSIP_Label_089ee598-6f58-4d3e-810b-6adb7706b30f_Application">
    <vt:lpwstr>Microsoft Azure Information Protection</vt:lpwstr>
  </property>
  <property fmtid="{D5CDD505-2E9C-101B-9397-08002B2CF9AE}" pid="8" name="MSIP_Label_089ee598-6f58-4d3e-810b-6adb7706b30f_ActionId">
    <vt:lpwstr>1ad04ca9-7f98-4d16-9bfe-b9ac132e8d93</vt:lpwstr>
  </property>
  <property fmtid="{D5CDD505-2E9C-101B-9397-08002B2CF9AE}" pid="9" name="MSIP_Label_089ee598-6f58-4d3e-810b-6adb7706b30f_Extended_MSFT_Method">
    <vt:lpwstr>Automatic</vt:lpwstr>
  </property>
  <property fmtid="{D5CDD505-2E9C-101B-9397-08002B2CF9AE}" pid="10" name="Sensitivity">
    <vt:lpwstr>General</vt:lpwstr>
  </property>
</Properties>
</file>